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53E77" w14:textId="007AA8DC" w:rsidR="00854633" w:rsidRPr="00807F13" w:rsidRDefault="006E2CEC" w:rsidP="00854633">
      <w:pPr>
        <w:spacing w:line="240" w:lineRule="auto"/>
        <w:rPr>
          <w:color w:val="595959" w:themeColor="text1" w:themeTint="A6"/>
          <w:sz w:val="18"/>
          <w:szCs w:val="18"/>
        </w:rPr>
      </w:pPr>
      <w:r w:rsidRPr="00360227">
        <w:rPr>
          <w:b/>
          <w:noProof/>
          <w:color w:val="595959" w:themeColor="text1" w:themeTint="A6"/>
          <w:sz w:val="46"/>
          <w:szCs w:val="46"/>
        </w:rPr>
        <w:drawing>
          <wp:anchor distT="0" distB="0" distL="114300" distR="114300" simplePos="0" relativeHeight="251652096" behindDoc="0" locked="0" layoutInCell="1" allowOverlap="1" wp14:anchorId="7A5DDC8E" wp14:editId="11D88C95">
            <wp:simplePos x="0" y="0"/>
            <wp:positionH relativeFrom="column">
              <wp:posOffset>6778487</wp:posOffset>
            </wp:positionH>
            <wp:positionV relativeFrom="paragraph">
              <wp:posOffset>5715</wp:posOffset>
            </wp:positionV>
            <wp:extent cx="2448024" cy="486900"/>
            <wp:effectExtent l="0" t="0" r="0" b="8890"/>
            <wp:wrapNone/>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448024" cy="48690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6"/>
        </w:rPr>
        <w:t xml:space="preserve">Exemplo de modelo de plano de negócios </w:t>
      </w:r>
      <w:r w:rsidR="00BE4B6E">
        <w:rPr>
          <w:b/>
          <w:color w:val="595959" w:themeColor="text1" w:themeTint="A6"/>
          <w:sz w:val="46"/>
        </w:rPr>
        <w:br/>
      </w:r>
      <w:r>
        <w:rPr>
          <w:b/>
          <w:color w:val="595959" w:themeColor="text1" w:themeTint="A6"/>
          <w:sz w:val="46"/>
        </w:rPr>
        <w:t>estratégico de cinco anos</w:t>
      </w:r>
      <w:r w:rsidR="0079272D">
        <w:rPr>
          <w:b/>
          <w:color w:val="595959" w:themeColor="text1" w:themeTint="A6"/>
          <w:sz w:val="46"/>
          <w:szCs w:val="46"/>
        </w:rPr>
        <w:br/>
      </w:r>
      <w:r w:rsidR="000E3EE3">
        <w:rPr>
          <w:b/>
          <w:color w:val="595959" w:themeColor="text1" w:themeTint="A6"/>
          <w:sz w:val="46"/>
          <w:szCs w:val="46"/>
        </w:rPr>
        <w:br/>
      </w:r>
    </w:p>
    <w:p w14:paraId="241BDFF6" w14:textId="77777777" w:rsidR="00BB62A7" w:rsidRDefault="00BB62A7" w:rsidP="000029E5">
      <w:pPr>
        <w:spacing w:after="240"/>
        <w:jc w:val="center"/>
        <w:rPr>
          <w:color w:val="7F7F7F" w:themeColor="text1" w:themeTint="80"/>
          <w:sz w:val="50"/>
          <w:szCs w:val="50"/>
        </w:rPr>
      </w:pPr>
    </w:p>
    <w:p w14:paraId="3D1A1173" w14:textId="70486371" w:rsidR="000029E5" w:rsidRPr="001E16F8" w:rsidRDefault="00901FA1" w:rsidP="000029E5">
      <w:pPr>
        <w:spacing w:after="240"/>
        <w:jc w:val="center"/>
        <w:rPr>
          <w:color w:val="7F7F7F" w:themeColor="text1" w:themeTint="80"/>
          <w:sz w:val="50"/>
          <w:szCs w:val="50"/>
        </w:rPr>
      </w:pPr>
      <w:r>
        <w:rPr>
          <w:color w:val="7F7F7F" w:themeColor="text1" w:themeTint="80"/>
          <w:sz w:val="50"/>
        </w:rPr>
        <w:t>POSITIVE CHARGE</w:t>
      </w:r>
    </w:p>
    <w:p w14:paraId="65008F3F" w14:textId="11731FCB" w:rsidR="000029E5" w:rsidRDefault="002B75CA" w:rsidP="008216A9">
      <w:pPr>
        <w:spacing w:after="240"/>
        <w:jc w:val="center"/>
        <w:rPr>
          <w:color w:val="595959" w:themeColor="text1" w:themeTint="A6"/>
          <w:sz w:val="36"/>
          <w:szCs w:val="36"/>
        </w:rPr>
      </w:pPr>
      <w:r>
        <w:rPr>
          <w:color w:val="595959" w:themeColor="text1" w:themeTint="A6"/>
          <w:sz w:val="36"/>
        </w:rPr>
        <w:t>PLANO ESTRATÉGICO DE CINCO ANOS 20XX–20XX</w:t>
      </w:r>
    </w:p>
    <w:tbl>
      <w:tblPr>
        <w:tblStyle w:val="TableGrid"/>
        <w:tblW w:w="0" w:type="auto"/>
        <w:tblLook w:val="04A0" w:firstRow="1" w:lastRow="0" w:firstColumn="1" w:lastColumn="0" w:noHBand="0" w:noVBand="1"/>
      </w:tblPr>
      <w:tblGrid>
        <w:gridCol w:w="2340"/>
        <w:gridCol w:w="4990"/>
        <w:gridCol w:w="2300"/>
        <w:gridCol w:w="4981"/>
      </w:tblGrid>
      <w:tr w:rsidR="003E0901" w14:paraId="2168AF32" w14:textId="378A4ADB" w:rsidTr="00881D06">
        <w:trPr>
          <w:trHeight w:val="4815"/>
        </w:trPr>
        <w:tc>
          <w:tcPr>
            <w:tcW w:w="2340" w:type="dxa"/>
            <w:tcBorders>
              <w:top w:val="nil"/>
              <w:left w:val="nil"/>
              <w:bottom w:val="nil"/>
              <w:right w:val="nil"/>
            </w:tcBorders>
            <w:shd w:val="clear" w:color="auto" w:fill="auto"/>
          </w:tcPr>
          <w:p w14:paraId="4069FDAD" w14:textId="77777777" w:rsidR="008216A9" w:rsidRPr="00881D06" w:rsidRDefault="008216A9" w:rsidP="003E0901">
            <w:pPr>
              <w:ind w:left="251"/>
              <w:rPr>
                <w:color w:val="788B8E"/>
                <w:sz w:val="24"/>
                <w:szCs w:val="24"/>
              </w:rPr>
            </w:pPr>
            <w:r w:rsidRPr="00881D06">
              <w:rPr>
                <w:color w:val="788B8E"/>
                <w:sz w:val="24"/>
                <w:szCs w:val="20"/>
              </w:rPr>
              <w:t>Declaração da</w:t>
            </w:r>
          </w:p>
          <w:p w14:paraId="3D35B9E1" w14:textId="77777777" w:rsidR="008216A9" w:rsidRPr="008216A9" w:rsidRDefault="008216A9" w:rsidP="003E0901">
            <w:pPr>
              <w:ind w:left="251"/>
              <w:rPr>
                <w:color w:val="595959" w:themeColor="text1" w:themeTint="A6"/>
              </w:rPr>
            </w:pPr>
            <w:r w:rsidRPr="00881D06">
              <w:rPr>
                <w:color w:val="788B8E"/>
                <w:sz w:val="20"/>
                <w:szCs w:val="20"/>
              </w:rPr>
              <w:t>MISSÃO</w:t>
            </w:r>
          </w:p>
        </w:tc>
        <w:tc>
          <w:tcPr>
            <w:tcW w:w="4990" w:type="dxa"/>
            <w:tcBorders>
              <w:top w:val="nil"/>
              <w:left w:val="nil"/>
              <w:bottom w:val="single" w:sz="18" w:space="0" w:color="CED9D6"/>
              <w:right w:val="single" w:sz="18" w:space="0" w:color="CED9D6"/>
            </w:tcBorders>
            <w:shd w:val="clear" w:color="auto" w:fill="F1F6F4"/>
            <w:tcMar>
              <w:top w:w="144" w:type="dxa"/>
              <w:left w:w="144" w:type="dxa"/>
              <w:bottom w:w="29" w:type="dxa"/>
              <w:right w:w="115" w:type="dxa"/>
            </w:tcMar>
          </w:tcPr>
          <w:p w14:paraId="42ADE1E7" w14:textId="77777777" w:rsidR="00482C57" w:rsidRPr="00881D06" w:rsidRDefault="009064BB" w:rsidP="004C1201">
            <w:pPr>
              <w:spacing w:after="120"/>
              <w:rPr>
                <w:color w:val="000000" w:themeColor="text1"/>
              </w:rPr>
            </w:pPr>
            <w:r w:rsidRPr="00881D06">
              <w:rPr>
                <w:color w:val="000000" w:themeColor="text1"/>
                <w:szCs w:val="20"/>
              </w:rPr>
              <w:t>Na Positive Charge, nossa missão é acelerar a transição para o transporte sustentável em todo o mundo. Fornecemos soluções confiáveis, práticas e inovadoras de carregamento de veículos elétricos e serviços de logística, aprimorando a experiência de propriedade desse tipo de veículo.</w:t>
            </w:r>
          </w:p>
          <w:p w14:paraId="5128B305" w14:textId="563B796B" w:rsidR="008216A9" w:rsidRPr="00482C57" w:rsidRDefault="009064BB" w:rsidP="004C1201">
            <w:pPr>
              <w:spacing w:after="120"/>
              <w:rPr>
                <w:color w:val="000000" w:themeColor="text1"/>
              </w:rPr>
            </w:pPr>
            <w:r w:rsidRPr="00881D06">
              <w:rPr>
                <w:color w:val="000000" w:themeColor="text1"/>
                <w:szCs w:val="20"/>
              </w:rPr>
              <w:t>Nosso compromisso com a sustentabilidade nos leva a melhorar e expandir continuamente nossa infraestrutura, garantindo acessibilidade para todos os motoristas de veículos elétricos e contribuindo para um planeta mais limpo e sustentável.</w:t>
            </w:r>
          </w:p>
        </w:tc>
        <w:tc>
          <w:tcPr>
            <w:tcW w:w="2300" w:type="dxa"/>
            <w:tcBorders>
              <w:top w:val="nil"/>
              <w:left w:val="single" w:sz="18" w:space="0" w:color="CED9D6"/>
              <w:bottom w:val="nil"/>
              <w:right w:val="nil"/>
            </w:tcBorders>
            <w:shd w:val="clear" w:color="auto" w:fill="auto"/>
          </w:tcPr>
          <w:p w14:paraId="78FF20D2" w14:textId="176A34CE" w:rsidR="008216A9" w:rsidRPr="00881D06" w:rsidRDefault="008216A9" w:rsidP="003E0901">
            <w:pPr>
              <w:ind w:left="160"/>
              <w:rPr>
                <w:color w:val="788B8E"/>
                <w:sz w:val="24"/>
                <w:szCs w:val="24"/>
              </w:rPr>
            </w:pPr>
            <w:r w:rsidRPr="00881D06">
              <w:rPr>
                <w:color w:val="788B8E"/>
                <w:sz w:val="24"/>
                <w:szCs w:val="20"/>
              </w:rPr>
              <w:t>Declaração da</w:t>
            </w:r>
          </w:p>
          <w:p w14:paraId="2071BC57" w14:textId="6E9B0A07" w:rsidR="008216A9" w:rsidRPr="008216A9" w:rsidRDefault="008216A9" w:rsidP="003E0901">
            <w:pPr>
              <w:spacing w:after="120"/>
              <w:ind w:left="160"/>
              <w:rPr>
                <w:color w:val="000000" w:themeColor="text1"/>
              </w:rPr>
            </w:pPr>
            <w:r w:rsidRPr="00881D06">
              <w:rPr>
                <w:color w:val="788B8E"/>
                <w:sz w:val="20"/>
                <w:szCs w:val="20"/>
              </w:rPr>
              <w:t>VISÃO</w:t>
            </w:r>
          </w:p>
        </w:tc>
        <w:tc>
          <w:tcPr>
            <w:tcW w:w="4981" w:type="dxa"/>
            <w:tcBorders>
              <w:top w:val="nil"/>
              <w:left w:val="nil"/>
              <w:bottom w:val="single" w:sz="18" w:space="0" w:color="CED9D6"/>
              <w:right w:val="single" w:sz="18" w:space="0" w:color="CED9D6"/>
            </w:tcBorders>
            <w:shd w:val="clear" w:color="auto" w:fill="F1F6F4"/>
          </w:tcPr>
          <w:p w14:paraId="07A53DBC" w14:textId="77777777" w:rsidR="00482C57" w:rsidRPr="00881D06" w:rsidRDefault="00482C57" w:rsidP="004C1201">
            <w:pPr>
              <w:spacing w:after="120"/>
              <w:rPr>
                <w:color w:val="000000" w:themeColor="text1"/>
              </w:rPr>
            </w:pPr>
            <w:r w:rsidRPr="00881D06">
              <w:rPr>
                <w:color w:val="000000" w:themeColor="text1"/>
                <w:szCs w:val="20"/>
              </w:rPr>
              <w:t>Nossa visão é nos tornarmos líderes globais no setor de carregamento de veículos elétricos, estabelecendo o padrão de inovação, satisfação do cliente e gestão ambiental.</w:t>
            </w:r>
          </w:p>
          <w:p w14:paraId="2048692F" w14:textId="77777777" w:rsidR="00901FA1" w:rsidRPr="00881D06" w:rsidRDefault="00482C57" w:rsidP="004C1201">
            <w:pPr>
              <w:spacing w:after="120"/>
              <w:rPr>
                <w:color w:val="000000" w:themeColor="text1"/>
              </w:rPr>
            </w:pPr>
            <w:r w:rsidRPr="00881D06">
              <w:rPr>
                <w:color w:val="000000" w:themeColor="text1"/>
                <w:szCs w:val="20"/>
              </w:rPr>
              <w:t>Até 20XX, a Positive Charge pretende inaugurar a rede de carregamento mais extensa e tecnologicamente avançada da atualidade, facilitando a mobilidade contínua e sustentável em todo o mundo.</w:t>
            </w:r>
          </w:p>
          <w:p w14:paraId="4F668E39" w14:textId="7C92A171" w:rsidR="008216A9" w:rsidRPr="001E16F8" w:rsidRDefault="00482C57" w:rsidP="004C1201">
            <w:pPr>
              <w:spacing w:after="120"/>
              <w:rPr>
                <w:color w:val="000000" w:themeColor="text1"/>
              </w:rPr>
            </w:pPr>
            <w:r w:rsidRPr="00881D06">
              <w:rPr>
                <w:color w:val="000000" w:themeColor="text1"/>
                <w:szCs w:val="20"/>
              </w:rPr>
              <w:t>Prevemos um futuro em que o transporte elétrico será a norma, alimentado por energia renovável e acessível a todos, em todos os lugares.</w:t>
            </w:r>
          </w:p>
        </w:tc>
      </w:tr>
    </w:tbl>
    <w:p w14:paraId="324C9E84" w14:textId="49A73F52" w:rsidR="00482C57" w:rsidRDefault="00482C57" w:rsidP="008216A9">
      <w:pPr>
        <w:spacing w:line="240" w:lineRule="auto"/>
        <w:jc w:val="center"/>
        <w:rPr>
          <w:color w:val="595959" w:themeColor="text1" w:themeTint="A6"/>
          <w:sz w:val="20"/>
          <w:szCs w:val="20"/>
        </w:rPr>
      </w:pPr>
    </w:p>
    <w:p w14:paraId="30351BE9" w14:textId="77777777" w:rsidR="00482C57" w:rsidRDefault="00482C57">
      <w:pPr>
        <w:rPr>
          <w:color w:val="595959" w:themeColor="text1" w:themeTint="A6"/>
          <w:sz w:val="20"/>
          <w:szCs w:val="20"/>
        </w:rPr>
      </w:pPr>
      <w:r>
        <w:rPr>
          <w:color w:val="595959" w:themeColor="text1" w:themeTint="A6"/>
          <w:sz w:val="20"/>
          <w:szCs w:val="20"/>
        </w:rPr>
        <w:br w:type="page"/>
      </w:r>
    </w:p>
    <w:p w14:paraId="70DC2C95" w14:textId="77777777" w:rsidR="008216A9" w:rsidRPr="008216A9" w:rsidRDefault="008216A9" w:rsidP="008216A9">
      <w:pPr>
        <w:spacing w:line="240" w:lineRule="auto"/>
        <w:jc w:val="center"/>
        <w:rPr>
          <w:color w:val="595959" w:themeColor="text1" w:themeTint="A6"/>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023"/>
        <w:gridCol w:w="2519"/>
        <w:gridCol w:w="2519"/>
        <w:gridCol w:w="2517"/>
        <w:gridCol w:w="2526"/>
        <w:gridCol w:w="2520"/>
      </w:tblGrid>
      <w:tr w:rsidR="0088159D" w:rsidRPr="000029E5" w14:paraId="7DB51B5A" w14:textId="77777777" w:rsidTr="000154E8">
        <w:trPr>
          <w:trHeight w:val="360"/>
        </w:trPr>
        <w:tc>
          <w:tcPr>
            <w:tcW w:w="1738" w:type="dxa"/>
            <w:tcBorders>
              <w:top w:val="nil"/>
              <w:left w:val="nil"/>
              <w:right w:val="single" w:sz="18" w:space="0" w:color="CED9D6"/>
            </w:tcBorders>
            <w:vAlign w:val="center"/>
          </w:tcPr>
          <w:p w14:paraId="6DA5EE36" w14:textId="011FA9DA" w:rsidR="000029E5" w:rsidRPr="000029E5" w:rsidRDefault="000029E5" w:rsidP="0088159D">
            <w:pPr>
              <w:rPr>
                <w:color w:val="90A6A9"/>
                <w:sz w:val="40"/>
                <w:szCs w:val="40"/>
              </w:rPr>
            </w:pPr>
          </w:p>
        </w:tc>
        <w:tc>
          <w:tcPr>
            <w:tcW w:w="2548" w:type="dxa"/>
            <w:tcBorders>
              <w:top w:val="single" w:sz="18" w:space="0" w:color="CED9D6"/>
              <w:left w:val="single" w:sz="18" w:space="0" w:color="CED9D6"/>
            </w:tcBorders>
            <w:shd w:val="clear" w:color="auto" w:fill="E2E23A"/>
            <w:vAlign w:val="center"/>
          </w:tcPr>
          <w:p w14:paraId="11B08FC5" w14:textId="4D1E075E" w:rsidR="000029E5" w:rsidRPr="00881D06" w:rsidRDefault="00807F13" w:rsidP="0088159D">
            <w:pPr>
              <w:rPr>
                <w:color w:val="595959" w:themeColor="text1" w:themeTint="A6"/>
                <w:sz w:val="19"/>
                <w:szCs w:val="19"/>
              </w:rPr>
            </w:pPr>
            <w:r w:rsidRPr="00881D06">
              <w:rPr>
                <w:color w:val="595959" w:themeColor="text1" w:themeTint="A6"/>
                <w:sz w:val="19"/>
                <w:szCs w:val="19"/>
              </w:rPr>
              <w:t>METAS DO ANO 1 – 20XX</w:t>
            </w:r>
          </w:p>
        </w:tc>
        <w:tc>
          <w:tcPr>
            <w:tcW w:w="2549" w:type="dxa"/>
            <w:tcBorders>
              <w:top w:val="single" w:sz="18" w:space="0" w:color="CED9D6"/>
            </w:tcBorders>
            <w:shd w:val="clear" w:color="auto" w:fill="E2E23A"/>
            <w:vAlign w:val="center"/>
          </w:tcPr>
          <w:p w14:paraId="3D883FAD" w14:textId="719178CA" w:rsidR="000029E5" w:rsidRPr="00881D06" w:rsidRDefault="00807F13" w:rsidP="0088159D">
            <w:pPr>
              <w:rPr>
                <w:color w:val="595959" w:themeColor="text1" w:themeTint="A6"/>
                <w:sz w:val="19"/>
                <w:szCs w:val="19"/>
              </w:rPr>
            </w:pPr>
            <w:r w:rsidRPr="00881D06">
              <w:rPr>
                <w:color w:val="595959" w:themeColor="text1" w:themeTint="A6"/>
                <w:sz w:val="19"/>
                <w:szCs w:val="19"/>
              </w:rPr>
              <w:t>METAS DO ANO 2 – 20XX</w:t>
            </w:r>
          </w:p>
        </w:tc>
        <w:tc>
          <w:tcPr>
            <w:tcW w:w="2549" w:type="dxa"/>
            <w:tcBorders>
              <w:top w:val="single" w:sz="18" w:space="0" w:color="CED9D6"/>
            </w:tcBorders>
            <w:shd w:val="clear" w:color="auto" w:fill="E2E23A"/>
            <w:vAlign w:val="center"/>
          </w:tcPr>
          <w:p w14:paraId="2EFF91C9" w14:textId="7BC3B972" w:rsidR="000029E5" w:rsidRPr="00881D06" w:rsidRDefault="00807F13" w:rsidP="0088159D">
            <w:pPr>
              <w:rPr>
                <w:color w:val="595959" w:themeColor="text1" w:themeTint="A6"/>
                <w:sz w:val="19"/>
                <w:szCs w:val="19"/>
              </w:rPr>
            </w:pPr>
            <w:r w:rsidRPr="00881D06">
              <w:rPr>
                <w:color w:val="595959" w:themeColor="text1" w:themeTint="A6"/>
                <w:sz w:val="19"/>
                <w:szCs w:val="19"/>
              </w:rPr>
              <w:t>METAS DO ANO 3 – 20XX</w:t>
            </w:r>
          </w:p>
        </w:tc>
        <w:tc>
          <w:tcPr>
            <w:tcW w:w="2549" w:type="dxa"/>
            <w:tcBorders>
              <w:top w:val="single" w:sz="18" w:space="0" w:color="CED9D6"/>
            </w:tcBorders>
            <w:shd w:val="clear" w:color="auto" w:fill="E2E23A"/>
            <w:vAlign w:val="center"/>
          </w:tcPr>
          <w:p w14:paraId="1D889FDE" w14:textId="20E15098" w:rsidR="000029E5" w:rsidRPr="00881D06" w:rsidRDefault="00807F13" w:rsidP="0088159D">
            <w:pPr>
              <w:rPr>
                <w:color w:val="595959" w:themeColor="text1" w:themeTint="A6"/>
                <w:sz w:val="19"/>
                <w:szCs w:val="19"/>
              </w:rPr>
            </w:pPr>
            <w:r w:rsidRPr="00881D06">
              <w:rPr>
                <w:color w:val="595959" w:themeColor="text1" w:themeTint="A6"/>
                <w:sz w:val="19"/>
                <w:szCs w:val="19"/>
              </w:rPr>
              <w:t>METAS DO ANO 4 – 20XX</w:t>
            </w:r>
          </w:p>
        </w:tc>
        <w:tc>
          <w:tcPr>
            <w:tcW w:w="2549" w:type="dxa"/>
            <w:tcBorders>
              <w:top w:val="single" w:sz="18" w:space="0" w:color="CED9D6"/>
            </w:tcBorders>
            <w:shd w:val="clear" w:color="auto" w:fill="E2E23A"/>
            <w:vAlign w:val="center"/>
          </w:tcPr>
          <w:p w14:paraId="1D69C4F1" w14:textId="1688A489" w:rsidR="000029E5" w:rsidRPr="00881D06" w:rsidRDefault="00807F13" w:rsidP="0088159D">
            <w:pPr>
              <w:rPr>
                <w:color w:val="595959" w:themeColor="text1" w:themeTint="A6"/>
                <w:sz w:val="19"/>
                <w:szCs w:val="19"/>
              </w:rPr>
            </w:pPr>
            <w:r w:rsidRPr="00881D06">
              <w:rPr>
                <w:color w:val="595959" w:themeColor="text1" w:themeTint="A6"/>
                <w:sz w:val="19"/>
                <w:szCs w:val="19"/>
              </w:rPr>
              <w:t>METAS DO ANO 5 – 20XX</w:t>
            </w:r>
          </w:p>
        </w:tc>
      </w:tr>
      <w:tr w:rsidR="0088159D" w:rsidRPr="000029E5" w14:paraId="533337FB" w14:textId="77777777" w:rsidTr="00520499">
        <w:trPr>
          <w:trHeight w:val="1512"/>
        </w:trPr>
        <w:tc>
          <w:tcPr>
            <w:tcW w:w="1738" w:type="dxa"/>
            <w:tcBorders>
              <w:right w:val="single" w:sz="18" w:space="0" w:color="CED9D6"/>
            </w:tcBorders>
            <w:shd w:val="clear" w:color="auto" w:fill="FAF9D3"/>
            <w:vAlign w:val="center"/>
          </w:tcPr>
          <w:p w14:paraId="3AF50451" w14:textId="6BD4CCC3" w:rsidR="0088159D" w:rsidRPr="00052296" w:rsidRDefault="00807F13" w:rsidP="0088159D">
            <w:pPr>
              <w:rPr>
                <w:color w:val="000000" w:themeColor="text1"/>
                <w:sz w:val="19"/>
                <w:szCs w:val="19"/>
              </w:rPr>
            </w:pPr>
            <w:r w:rsidRPr="00052296">
              <w:rPr>
                <w:color w:val="000000" w:themeColor="text1"/>
                <w:sz w:val="19"/>
                <w:szCs w:val="19"/>
              </w:rPr>
              <w:t>FINANCEIRO</w:t>
            </w:r>
          </w:p>
        </w:tc>
        <w:tc>
          <w:tcPr>
            <w:tcW w:w="2548" w:type="dxa"/>
            <w:tcBorders>
              <w:left w:val="single" w:sz="18" w:space="0" w:color="CED9D6"/>
            </w:tcBorders>
          </w:tcPr>
          <w:p w14:paraId="64B37C94" w14:textId="4C54B5CC" w:rsidR="0088159D" w:rsidRPr="00052296" w:rsidRDefault="00901FA1" w:rsidP="00954C5C">
            <w:pPr>
              <w:rPr>
                <w:color w:val="000000" w:themeColor="text1"/>
                <w:sz w:val="15"/>
                <w:szCs w:val="15"/>
              </w:rPr>
            </w:pPr>
            <w:r w:rsidRPr="00052296">
              <w:rPr>
                <w:color w:val="000000" w:themeColor="text1"/>
                <w:sz w:val="15"/>
                <w:szCs w:val="15"/>
                <w:u w:val="single"/>
              </w:rPr>
              <w:t>Estabelecer a base:</w:t>
            </w:r>
            <w:r w:rsidR="00954C5C" w:rsidRPr="00052296">
              <w:rPr>
                <w:color w:val="000000" w:themeColor="text1"/>
                <w:sz w:val="15"/>
                <w:szCs w:val="15"/>
              </w:rPr>
              <w:t xml:space="preserve"> atingir R$ 5 milhões em receita expandindo a rede de carregamento em 15%. Garantir R$ 2 milhões em financiamento para atualizações e expansão de tecnologia.</w:t>
            </w:r>
          </w:p>
        </w:tc>
        <w:tc>
          <w:tcPr>
            <w:tcW w:w="2549" w:type="dxa"/>
            <w:shd w:val="clear" w:color="auto" w:fill="FAFAFA"/>
          </w:tcPr>
          <w:p w14:paraId="2BDC87AA" w14:textId="77777777" w:rsidR="008F58FD" w:rsidRPr="00052296" w:rsidRDefault="00954C5C" w:rsidP="008F58FD">
            <w:pPr>
              <w:rPr>
                <w:color w:val="000000" w:themeColor="text1"/>
                <w:sz w:val="15"/>
                <w:szCs w:val="15"/>
              </w:rPr>
            </w:pPr>
            <w:r w:rsidRPr="00052296">
              <w:rPr>
                <w:color w:val="000000" w:themeColor="text1"/>
                <w:sz w:val="15"/>
                <w:szCs w:val="15"/>
                <w:u w:val="single"/>
              </w:rPr>
              <w:t>Crescimento e expansão:</w:t>
            </w:r>
            <w:r w:rsidR="008F58FD" w:rsidRPr="00052296">
              <w:rPr>
                <w:color w:val="000000" w:themeColor="text1"/>
                <w:sz w:val="15"/>
                <w:szCs w:val="15"/>
              </w:rPr>
              <w:t xml:space="preserve"> aumentar a receita em 20%, com foco em áreas urbanas de alta demanda.</w:t>
            </w:r>
          </w:p>
          <w:p w14:paraId="54BF1BD9" w14:textId="464D54EE" w:rsidR="0088159D" w:rsidRPr="00052296" w:rsidRDefault="008F58FD" w:rsidP="008F58FD">
            <w:pPr>
              <w:rPr>
                <w:color w:val="000000" w:themeColor="text1"/>
                <w:sz w:val="15"/>
                <w:szCs w:val="15"/>
              </w:rPr>
            </w:pPr>
            <w:r w:rsidRPr="00052296">
              <w:rPr>
                <w:color w:val="000000" w:themeColor="text1"/>
                <w:sz w:val="15"/>
                <w:szCs w:val="15"/>
              </w:rPr>
              <w:t xml:space="preserve">Reduzir os custos operacionais em 5% por meio de melhorias na eficiência. </w:t>
            </w:r>
          </w:p>
        </w:tc>
        <w:tc>
          <w:tcPr>
            <w:tcW w:w="2549" w:type="dxa"/>
          </w:tcPr>
          <w:p w14:paraId="3F48B8AD" w14:textId="77777777" w:rsidR="00A85C00" w:rsidRPr="00052296" w:rsidRDefault="008F58FD" w:rsidP="00A85C00">
            <w:pPr>
              <w:rPr>
                <w:color w:val="000000" w:themeColor="text1"/>
                <w:sz w:val="15"/>
                <w:szCs w:val="15"/>
              </w:rPr>
            </w:pPr>
            <w:r w:rsidRPr="00052296">
              <w:rPr>
                <w:color w:val="000000" w:themeColor="text1"/>
                <w:sz w:val="15"/>
                <w:szCs w:val="15"/>
                <w:u w:val="single"/>
              </w:rPr>
              <w:t>Consolidação e rentabilidade:</w:t>
            </w:r>
            <w:r w:rsidRPr="00052296">
              <w:rPr>
                <w:color w:val="000000" w:themeColor="text1"/>
                <w:sz w:val="15"/>
                <w:szCs w:val="15"/>
              </w:rPr>
              <w:t xml:space="preserve"> atingir R$ 15 milhões em receita por meio de parcerias estratégicas e diversificação de serviços.</w:t>
            </w:r>
          </w:p>
          <w:p w14:paraId="429C24C1" w14:textId="63E1AA4C" w:rsidR="0088159D" w:rsidRPr="00052296" w:rsidRDefault="00A85C00" w:rsidP="00A85C00">
            <w:pPr>
              <w:rPr>
                <w:color w:val="000000" w:themeColor="text1"/>
                <w:sz w:val="15"/>
                <w:szCs w:val="15"/>
              </w:rPr>
            </w:pPr>
            <w:r w:rsidRPr="00052296">
              <w:rPr>
                <w:color w:val="000000" w:themeColor="text1"/>
                <w:sz w:val="15"/>
                <w:szCs w:val="15"/>
              </w:rPr>
              <w:t>Alcançar uma margem de lucro de 15% otimizando as operações e o gerenciamento de custos.</w:t>
            </w:r>
          </w:p>
        </w:tc>
        <w:tc>
          <w:tcPr>
            <w:tcW w:w="2549" w:type="dxa"/>
            <w:shd w:val="clear" w:color="auto" w:fill="FAFAFA"/>
          </w:tcPr>
          <w:p w14:paraId="7B3AE08B" w14:textId="6D4CE8D6" w:rsidR="0088159D" w:rsidRPr="00052296" w:rsidRDefault="00A85C00" w:rsidP="00A43A23">
            <w:pPr>
              <w:rPr>
                <w:color w:val="000000" w:themeColor="text1"/>
                <w:sz w:val="15"/>
                <w:szCs w:val="15"/>
              </w:rPr>
            </w:pPr>
            <w:r w:rsidRPr="00052296">
              <w:rPr>
                <w:color w:val="000000" w:themeColor="text1"/>
                <w:sz w:val="15"/>
                <w:szCs w:val="15"/>
                <w:u w:val="single"/>
              </w:rPr>
              <w:t>Liderança de mercado:</w:t>
            </w:r>
            <w:r w:rsidRPr="00052296">
              <w:rPr>
                <w:color w:val="000000" w:themeColor="text1"/>
                <w:sz w:val="15"/>
                <w:szCs w:val="15"/>
              </w:rPr>
              <w:t xml:space="preserve"> atingir R$ 25 milhões em receita com a introdução de soluções inovadoras de carregamento. Expandir os negócios internacionalmente, começando por projetos-piloto na Europa e Ásia.</w:t>
            </w:r>
          </w:p>
        </w:tc>
        <w:tc>
          <w:tcPr>
            <w:tcW w:w="2549" w:type="dxa"/>
          </w:tcPr>
          <w:p w14:paraId="1CC52BEF" w14:textId="3291A10E" w:rsidR="0088159D" w:rsidRPr="00052296" w:rsidRDefault="00A85C00" w:rsidP="00A43A23">
            <w:pPr>
              <w:rPr>
                <w:color w:val="000000" w:themeColor="text1"/>
                <w:sz w:val="15"/>
                <w:szCs w:val="15"/>
              </w:rPr>
            </w:pPr>
            <w:r w:rsidRPr="00052296">
              <w:rPr>
                <w:color w:val="000000" w:themeColor="text1"/>
                <w:sz w:val="15"/>
                <w:szCs w:val="15"/>
                <w:u w:val="single"/>
              </w:rPr>
              <w:t>Sustentabilidade e inovação:</w:t>
            </w:r>
            <w:r w:rsidRPr="00052296">
              <w:rPr>
                <w:color w:val="000000" w:themeColor="text1"/>
                <w:sz w:val="15"/>
                <w:szCs w:val="15"/>
              </w:rPr>
              <w:t xml:space="preserve"> superar R$ 35 milhões em receita liderando práticas sustentáveis e integração de energia renovável. Investir 10% dos lucros em P&amp;D para tecnologias de carregamento de veículos elétricos de última geração.</w:t>
            </w:r>
          </w:p>
        </w:tc>
      </w:tr>
      <w:tr w:rsidR="0088159D" w:rsidRPr="000029E5" w14:paraId="640E1C04" w14:textId="77777777" w:rsidTr="00520499">
        <w:trPr>
          <w:trHeight w:val="1512"/>
        </w:trPr>
        <w:tc>
          <w:tcPr>
            <w:tcW w:w="1738" w:type="dxa"/>
            <w:tcBorders>
              <w:right w:val="single" w:sz="18" w:space="0" w:color="CED9D6"/>
            </w:tcBorders>
            <w:shd w:val="clear" w:color="auto" w:fill="FAF9D3"/>
            <w:vAlign w:val="center"/>
          </w:tcPr>
          <w:p w14:paraId="6EF76EF3" w14:textId="2E152536" w:rsidR="0088159D" w:rsidRPr="00052296" w:rsidRDefault="00807F13" w:rsidP="0088159D">
            <w:pPr>
              <w:rPr>
                <w:color w:val="000000" w:themeColor="text1"/>
                <w:sz w:val="19"/>
                <w:szCs w:val="19"/>
              </w:rPr>
            </w:pPr>
            <w:r w:rsidRPr="00052296">
              <w:rPr>
                <w:color w:val="000000" w:themeColor="text1"/>
                <w:sz w:val="19"/>
                <w:szCs w:val="19"/>
              </w:rPr>
              <w:t>MARKETING</w:t>
            </w:r>
          </w:p>
        </w:tc>
        <w:tc>
          <w:tcPr>
            <w:tcW w:w="2548" w:type="dxa"/>
            <w:tcBorders>
              <w:left w:val="single" w:sz="18" w:space="0" w:color="CED9D6"/>
            </w:tcBorders>
          </w:tcPr>
          <w:p w14:paraId="25684728" w14:textId="4EBE6DC2" w:rsidR="0088159D" w:rsidRPr="00052296" w:rsidRDefault="00AE5812" w:rsidP="00A43A23">
            <w:pPr>
              <w:rPr>
                <w:color w:val="000000" w:themeColor="text1"/>
                <w:sz w:val="15"/>
                <w:szCs w:val="15"/>
              </w:rPr>
            </w:pPr>
            <w:r w:rsidRPr="00052296">
              <w:rPr>
                <w:color w:val="000000" w:themeColor="text1"/>
                <w:sz w:val="15"/>
                <w:szCs w:val="15"/>
                <w:u w:val="single"/>
              </w:rPr>
              <w:t>Reconhecimento da marca:</w:t>
            </w:r>
            <w:r w:rsidRPr="00052296">
              <w:rPr>
                <w:color w:val="000000" w:themeColor="text1"/>
                <w:sz w:val="15"/>
                <w:szCs w:val="15"/>
              </w:rPr>
              <w:t xml:space="preserve"> lançar uma campanha abrangente de marketing digital para aumentar a visibilidade da marca. Estabelecer parcerias com fabricantes de veículos elétricos para criar oportunidades de co-marketing.</w:t>
            </w:r>
          </w:p>
        </w:tc>
        <w:tc>
          <w:tcPr>
            <w:tcW w:w="2549" w:type="dxa"/>
            <w:shd w:val="clear" w:color="auto" w:fill="FAFAFA"/>
          </w:tcPr>
          <w:p w14:paraId="2C7E8C25" w14:textId="3435328C" w:rsidR="0088159D" w:rsidRPr="00052296" w:rsidRDefault="00A43A23" w:rsidP="00A43A23">
            <w:pPr>
              <w:rPr>
                <w:color w:val="000000" w:themeColor="text1"/>
                <w:sz w:val="15"/>
                <w:szCs w:val="15"/>
              </w:rPr>
            </w:pPr>
            <w:r w:rsidRPr="00052296">
              <w:rPr>
                <w:color w:val="000000" w:themeColor="text1"/>
                <w:sz w:val="15"/>
                <w:szCs w:val="15"/>
                <w:u w:val="single"/>
              </w:rPr>
              <w:t>Penetração de mercado:</w:t>
            </w:r>
            <w:r w:rsidRPr="00052296">
              <w:rPr>
                <w:color w:val="000000" w:themeColor="text1"/>
                <w:sz w:val="15"/>
                <w:szCs w:val="15"/>
              </w:rPr>
              <w:t xml:space="preserve"> introduzir programas de fidelidade e incentivos para usuários frequentes. Organizar eventos de conscientização e sustentabilidade de veículos elétricos para educar e envolver clientes em potencial.</w:t>
            </w:r>
          </w:p>
        </w:tc>
        <w:tc>
          <w:tcPr>
            <w:tcW w:w="2549" w:type="dxa"/>
          </w:tcPr>
          <w:p w14:paraId="0DD32D47" w14:textId="1675A7AC" w:rsidR="0088159D" w:rsidRPr="00052296" w:rsidRDefault="00053358" w:rsidP="00053358">
            <w:pPr>
              <w:rPr>
                <w:color w:val="000000" w:themeColor="text1"/>
                <w:sz w:val="15"/>
                <w:szCs w:val="15"/>
              </w:rPr>
            </w:pPr>
            <w:r w:rsidRPr="00052296">
              <w:rPr>
                <w:color w:val="000000" w:themeColor="text1"/>
                <w:sz w:val="15"/>
                <w:szCs w:val="15"/>
                <w:u w:val="single"/>
              </w:rPr>
              <w:t>Engajamento do cliente</w:t>
            </w:r>
            <w:r w:rsidRPr="00052296">
              <w:rPr>
                <w:color w:val="000000" w:themeColor="text1"/>
                <w:sz w:val="15"/>
                <w:szCs w:val="15"/>
              </w:rPr>
              <w:t xml:space="preserve">: aproveitar as redes sociais e o feedback dos clientes para melhorar a experiência do usuário. Implementar programas de indicação para aumentar a base de usuários. </w:t>
            </w:r>
          </w:p>
        </w:tc>
        <w:tc>
          <w:tcPr>
            <w:tcW w:w="2549" w:type="dxa"/>
            <w:shd w:val="clear" w:color="auto" w:fill="FAFAFA"/>
          </w:tcPr>
          <w:p w14:paraId="1E90D385" w14:textId="77777777" w:rsidR="005069D7" w:rsidRPr="00052296" w:rsidRDefault="00053358" w:rsidP="005069D7">
            <w:pPr>
              <w:rPr>
                <w:color w:val="000000" w:themeColor="text1"/>
                <w:sz w:val="15"/>
                <w:szCs w:val="15"/>
              </w:rPr>
            </w:pPr>
            <w:r w:rsidRPr="00052296">
              <w:rPr>
                <w:color w:val="000000" w:themeColor="text1"/>
                <w:sz w:val="15"/>
                <w:szCs w:val="15"/>
                <w:u w:val="single"/>
              </w:rPr>
              <w:t>Expansão e diversificação</w:t>
            </w:r>
            <w:r w:rsidRPr="00052296">
              <w:rPr>
                <w:color w:val="000000" w:themeColor="text1"/>
                <w:sz w:val="15"/>
                <w:szCs w:val="15"/>
              </w:rPr>
              <w:t>: entrar em novos mercados com estratégias de marketing direcionadas aos consumidores locais.</w:t>
            </w:r>
          </w:p>
          <w:p w14:paraId="797CBB5B" w14:textId="350F596D" w:rsidR="0088159D" w:rsidRPr="00052296" w:rsidRDefault="005069D7" w:rsidP="005069D7">
            <w:pPr>
              <w:rPr>
                <w:color w:val="000000" w:themeColor="text1"/>
                <w:sz w:val="15"/>
                <w:szCs w:val="15"/>
              </w:rPr>
            </w:pPr>
            <w:r w:rsidRPr="00052296">
              <w:rPr>
                <w:color w:val="000000" w:themeColor="text1"/>
                <w:sz w:val="15"/>
                <w:szCs w:val="15"/>
              </w:rPr>
              <w:t>Diversificar os esforços de marketing para incluir segmentos B2B com foco em empresas de logística.</w:t>
            </w:r>
          </w:p>
        </w:tc>
        <w:tc>
          <w:tcPr>
            <w:tcW w:w="2549" w:type="dxa"/>
          </w:tcPr>
          <w:p w14:paraId="412C8599" w14:textId="24830FC5" w:rsidR="0088159D" w:rsidRPr="00052296" w:rsidRDefault="005069D7" w:rsidP="005069D7">
            <w:pPr>
              <w:rPr>
                <w:color w:val="000000" w:themeColor="text1"/>
                <w:sz w:val="15"/>
                <w:szCs w:val="15"/>
              </w:rPr>
            </w:pPr>
            <w:r w:rsidRPr="00052296">
              <w:rPr>
                <w:color w:val="000000" w:themeColor="text1"/>
                <w:sz w:val="15"/>
                <w:szCs w:val="15"/>
                <w:u w:val="single"/>
              </w:rPr>
              <w:t>Liderança da marca</w:t>
            </w:r>
            <w:r w:rsidRPr="00052296">
              <w:rPr>
                <w:color w:val="000000" w:themeColor="text1"/>
                <w:sz w:val="15"/>
                <w:szCs w:val="15"/>
              </w:rPr>
              <w:t>: posicionar a Positive Charge como líder em inovação de carregamento de veículos elétricos por meio de conferências e publicações do setor. Fortalecer a fidelidade à marca destacando iniciativas de sustentabilidade e histórias de sucesso dos clientes.</w:t>
            </w:r>
          </w:p>
        </w:tc>
      </w:tr>
      <w:tr w:rsidR="0088159D" w:rsidRPr="000029E5" w14:paraId="7D91EEA5" w14:textId="77777777" w:rsidTr="00520499">
        <w:trPr>
          <w:trHeight w:val="1512"/>
        </w:trPr>
        <w:tc>
          <w:tcPr>
            <w:tcW w:w="1738" w:type="dxa"/>
            <w:tcBorders>
              <w:right w:val="single" w:sz="18" w:space="0" w:color="CED9D6"/>
            </w:tcBorders>
            <w:shd w:val="clear" w:color="auto" w:fill="FAF9D3"/>
            <w:vAlign w:val="center"/>
          </w:tcPr>
          <w:p w14:paraId="0C55B2B4" w14:textId="71D2870A" w:rsidR="0088159D" w:rsidRPr="00052296" w:rsidRDefault="00807F13" w:rsidP="0088159D">
            <w:pPr>
              <w:rPr>
                <w:color w:val="000000" w:themeColor="text1"/>
                <w:sz w:val="19"/>
                <w:szCs w:val="19"/>
              </w:rPr>
            </w:pPr>
            <w:r w:rsidRPr="00052296">
              <w:rPr>
                <w:color w:val="000000" w:themeColor="text1"/>
                <w:sz w:val="19"/>
                <w:szCs w:val="19"/>
              </w:rPr>
              <w:t>ENGAJAMENTO DA COMUNIDADE</w:t>
            </w:r>
          </w:p>
        </w:tc>
        <w:tc>
          <w:tcPr>
            <w:tcW w:w="2548" w:type="dxa"/>
            <w:tcBorders>
              <w:left w:val="single" w:sz="18" w:space="0" w:color="CED9D6"/>
            </w:tcBorders>
          </w:tcPr>
          <w:p w14:paraId="4EB5506C" w14:textId="53B7F8A6" w:rsidR="0088159D" w:rsidRPr="00052296" w:rsidRDefault="00520499" w:rsidP="00533A0B">
            <w:pPr>
              <w:rPr>
                <w:color w:val="000000" w:themeColor="text1"/>
                <w:sz w:val="15"/>
                <w:szCs w:val="15"/>
              </w:rPr>
            </w:pPr>
            <w:r w:rsidRPr="00052296">
              <w:rPr>
                <w:color w:val="000000" w:themeColor="text1"/>
                <w:sz w:val="15"/>
                <w:szCs w:val="15"/>
                <w:u w:val="single"/>
              </w:rPr>
              <w:t>Construção de relacionamentos</w:t>
            </w:r>
            <w:r w:rsidRPr="00052296">
              <w:rPr>
                <w:color w:val="000000" w:themeColor="text1"/>
                <w:sz w:val="15"/>
                <w:szCs w:val="15"/>
              </w:rPr>
              <w:t>: colaborar com governos e organizações comunitárias locais em projetos de infraestrutura de veículos elétricos. Patrocinar eventos locais relacionados a meio ambiente e sustentabilidade.</w:t>
            </w:r>
          </w:p>
        </w:tc>
        <w:tc>
          <w:tcPr>
            <w:tcW w:w="2549" w:type="dxa"/>
            <w:shd w:val="clear" w:color="auto" w:fill="FAFAFA"/>
          </w:tcPr>
          <w:p w14:paraId="1CDB1F72" w14:textId="1EEF3D7D" w:rsidR="0088159D" w:rsidRPr="00052296" w:rsidRDefault="00533A0B" w:rsidP="0088159D">
            <w:pPr>
              <w:rPr>
                <w:color w:val="000000" w:themeColor="text1"/>
                <w:sz w:val="15"/>
                <w:szCs w:val="15"/>
              </w:rPr>
            </w:pPr>
            <w:r w:rsidRPr="00052296">
              <w:rPr>
                <w:color w:val="000000" w:themeColor="text1"/>
                <w:sz w:val="15"/>
                <w:szCs w:val="15"/>
                <w:u w:val="single"/>
              </w:rPr>
              <w:t>Programas comunitários</w:t>
            </w:r>
            <w:r w:rsidRPr="00052296">
              <w:rPr>
                <w:color w:val="000000" w:themeColor="text1"/>
                <w:sz w:val="15"/>
                <w:szCs w:val="15"/>
              </w:rPr>
              <w:t>: lançar programas educacionais em escolas e comunidades sobre veículos elétricos e sustentabilidade ambiental. Iniciar um programa de subsídios para empresas locais instalarem carregadores de veículos elétricos.</w:t>
            </w:r>
          </w:p>
        </w:tc>
        <w:tc>
          <w:tcPr>
            <w:tcW w:w="2549" w:type="dxa"/>
          </w:tcPr>
          <w:p w14:paraId="1D521495" w14:textId="7D48826C" w:rsidR="0088159D" w:rsidRPr="00052296" w:rsidRDefault="00533A0B" w:rsidP="0088159D">
            <w:pPr>
              <w:rPr>
                <w:color w:val="000000" w:themeColor="text1"/>
                <w:sz w:val="15"/>
                <w:szCs w:val="15"/>
              </w:rPr>
            </w:pPr>
            <w:r w:rsidRPr="00052296">
              <w:rPr>
                <w:color w:val="000000" w:themeColor="text1"/>
                <w:sz w:val="15"/>
                <w:szCs w:val="15"/>
                <w:u w:val="single"/>
              </w:rPr>
              <w:t>Feedback e adaptação</w:t>
            </w:r>
            <w:r w:rsidRPr="00052296">
              <w:rPr>
                <w:color w:val="000000" w:themeColor="text1"/>
                <w:sz w:val="15"/>
                <w:szCs w:val="15"/>
              </w:rPr>
              <w:t>: estabelecer um conselho consultivo da comunidade para coletar feedback sobre os locais e serviços das estações de carregamento. Implementar melhorias sugeridas pela comunidade e recursos de acessibilidade.</w:t>
            </w:r>
          </w:p>
        </w:tc>
        <w:tc>
          <w:tcPr>
            <w:tcW w:w="2549" w:type="dxa"/>
            <w:shd w:val="clear" w:color="auto" w:fill="FAFAFA"/>
          </w:tcPr>
          <w:p w14:paraId="70EC6C7F" w14:textId="1E5845BC" w:rsidR="0088159D" w:rsidRPr="00052296" w:rsidRDefault="009B2E64" w:rsidP="0088159D">
            <w:pPr>
              <w:rPr>
                <w:color w:val="000000" w:themeColor="text1"/>
                <w:sz w:val="15"/>
                <w:szCs w:val="15"/>
              </w:rPr>
            </w:pPr>
            <w:r w:rsidRPr="00052296">
              <w:rPr>
                <w:color w:val="000000" w:themeColor="text1"/>
                <w:sz w:val="15"/>
                <w:szCs w:val="15"/>
                <w:u w:val="single"/>
              </w:rPr>
              <w:t>Expansão do impacto</w:t>
            </w:r>
            <w:r w:rsidRPr="00052296">
              <w:rPr>
                <w:color w:val="000000" w:themeColor="text1"/>
                <w:sz w:val="15"/>
                <w:szCs w:val="15"/>
              </w:rPr>
              <w:t>: estabelecer parcerias com organizações sem fins lucrativos para projetos de impacto ambiental mais amplos. Aumentar o envolvimento através de projetos de arte das estações de carregamento orientados para a comunidade.</w:t>
            </w:r>
          </w:p>
        </w:tc>
        <w:tc>
          <w:tcPr>
            <w:tcW w:w="2549" w:type="dxa"/>
          </w:tcPr>
          <w:p w14:paraId="771372A9" w14:textId="7B8BED5D" w:rsidR="003C4D8C" w:rsidRPr="00052296" w:rsidRDefault="009B2E64" w:rsidP="003C4D8C">
            <w:pPr>
              <w:rPr>
                <w:color w:val="000000" w:themeColor="text1"/>
                <w:sz w:val="15"/>
                <w:szCs w:val="15"/>
              </w:rPr>
            </w:pPr>
            <w:r w:rsidRPr="00052296">
              <w:rPr>
                <w:color w:val="000000" w:themeColor="text1"/>
                <w:sz w:val="15"/>
                <w:szCs w:val="15"/>
                <w:u w:val="single"/>
              </w:rPr>
              <w:t>Legado e liderança</w:t>
            </w:r>
            <w:r w:rsidR="003C4D8C" w:rsidRPr="00052296">
              <w:rPr>
                <w:color w:val="000000" w:themeColor="text1"/>
                <w:sz w:val="15"/>
                <w:szCs w:val="15"/>
              </w:rPr>
              <w:t>: liderar iniciativas comunitárias sobre energia renovável e sustentabilidade definindo os padrões do setor.</w:t>
            </w:r>
          </w:p>
          <w:p w14:paraId="390B3235" w14:textId="1593805A" w:rsidR="0088159D" w:rsidRPr="00052296" w:rsidRDefault="003C4D8C" w:rsidP="003C4D8C">
            <w:pPr>
              <w:rPr>
                <w:color w:val="000000" w:themeColor="text1"/>
                <w:sz w:val="15"/>
                <w:szCs w:val="15"/>
              </w:rPr>
            </w:pPr>
            <w:r w:rsidRPr="00052296">
              <w:rPr>
                <w:color w:val="000000" w:themeColor="text1"/>
                <w:sz w:val="15"/>
                <w:szCs w:val="15"/>
              </w:rPr>
              <w:t xml:space="preserve">Estabelecer centros comunitários da Positive Charge para ensino e inovação em cidades grandes. </w:t>
            </w:r>
          </w:p>
        </w:tc>
      </w:tr>
      <w:tr w:rsidR="0088159D" w:rsidRPr="000029E5" w14:paraId="64E03964" w14:textId="77777777" w:rsidTr="00520499">
        <w:trPr>
          <w:trHeight w:val="1384"/>
        </w:trPr>
        <w:tc>
          <w:tcPr>
            <w:tcW w:w="1738" w:type="dxa"/>
            <w:tcBorders>
              <w:right w:val="single" w:sz="18" w:space="0" w:color="CED9D6"/>
            </w:tcBorders>
            <w:shd w:val="clear" w:color="auto" w:fill="FAF9D3"/>
            <w:vAlign w:val="center"/>
          </w:tcPr>
          <w:p w14:paraId="627D3683" w14:textId="3664CE30" w:rsidR="0088159D" w:rsidRPr="00052296" w:rsidRDefault="00807F13" w:rsidP="0088159D">
            <w:pPr>
              <w:rPr>
                <w:color w:val="000000" w:themeColor="text1"/>
                <w:sz w:val="19"/>
                <w:szCs w:val="19"/>
              </w:rPr>
            </w:pPr>
            <w:r w:rsidRPr="00052296">
              <w:rPr>
                <w:color w:val="000000" w:themeColor="text1"/>
                <w:sz w:val="19"/>
                <w:szCs w:val="19"/>
              </w:rPr>
              <w:t>OPERACIONAL</w:t>
            </w:r>
          </w:p>
        </w:tc>
        <w:tc>
          <w:tcPr>
            <w:tcW w:w="2548" w:type="dxa"/>
            <w:tcBorders>
              <w:left w:val="single" w:sz="18" w:space="0" w:color="CED9D6"/>
            </w:tcBorders>
          </w:tcPr>
          <w:p w14:paraId="78A1221E" w14:textId="6E5E0CEB" w:rsidR="0088159D" w:rsidRPr="00052296" w:rsidRDefault="00030AA4" w:rsidP="0088159D">
            <w:pPr>
              <w:rPr>
                <w:color w:val="000000" w:themeColor="text1"/>
                <w:sz w:val="15"/>
                <w:szCs w:val="15"/>
              </w:rPr>
            </w:pPr>
            <w:r w:rsidRPr="00052296">
              <w:rPr>
                <w:color w:val="000000" w:themeColor="text1"/>
                <w:sz w:val="15"/>
                <w:szCs w:val="15"/>
                <w:u w:val="single"/>
              </w:rPr>
              <w:t>Desenvolvimento de infraestrutura</w:t>
            </w:r>
            <w:r w:rsidRPr="00052296">
              <w:rPr>
                <w:color w:val="000000" w:themeColor="text1"/>
                <w:sz w:val="15"/>
                <w:szCs w:val="15"/>
              </w:rPr>
              <w:t>: implementar 200 novas estações de carregamento nos principais locais estratégicos. Implementar sistemas de manutenção e monitoramento de última geração para obter alta confiabilidade.</w:t>
            </w:r>
          </w:p>
        </w:tc>
        <w:tc>
          <w:tcPr>
            <w:tcW w:w="2549" w:type="dxa"/>
            <w:shd w:val="clear" w:color="auto" w:fill="FAFAFA"/>
          </w:tcPr>
          <w:p w14:paraId="58A6D3A1" w14:textId="49C36EB8" w:rsidR="0088159D" w:rsidRPr="00052296" w:rsidRDefault="00030AA4" w:rsidP="0088159D">
            <w:pPr>
              <w:rPr>
                <w:color w:val="000000" w:themeColor="text1"/>
                <w:sz w:val="15"/>
                <w:szCs w:val="15"/>
              </w:rPr>
            </w:pPr>
            <w:r w:rsidRPr="00052296">
              <w:rPr>
                <w:color w:val="000000" w:themeColor="text1"/>
                <w:sz w:val="15"/>
                <w:szCs w:val="15"/>
                <w:u w:val="single"/>
              </w:rPr>
              <w:t>Eficiência e confiabilidade</w:t>
            </w:r>
            <w:r w:rsidRPr="00052296">
              <w:rPr>
                <w:color w:val="000000" w:themeColor="text1"/>
                <w:sz w:val="15"/>
                <w:szCs w:val="15"/>
              </w:rPr>
              <w:t>: introduzir recursos de aplicativos móveis para atendimento ao cliente e feedback operacional aprimorados. Reduzir em 50% o tempo de inatividade das estações de carregamento por meio de manutenção preditiva.</w:t>
            </w:r>
          </w:p>
        </w:tc>
        <w:tc>
          <w:tcPr>
            <w:tcW w:w="2549" w:type="dxa"/>
          </w:tcPr>
          <w:p w14:paraId="1311B5B6" w14:textId="6C065AAD" w:rsidR="0088159D" w:rsidRPr="00052296" w:rsidRDefault="00030AA4" w:rsidP="0088159D">
            <w:pPr>
              <w:rPr>
                <w:color w:val="000000" w:themeColor="text1"/>
                <w:sz w:val="15"/>
                <w:szCs w:val="15"/>
              </w:rPr>
            </w:pPr>
            <w:r w:rsidRPr="00052296">
              <w:rPr>
                <w:color w:val="000000" w:themeColor="text1"/>
                <w:sz w:val="15"/>
                <w:szCs w:val="15"/>
                <w:u w:val="single"/>
              </w:rPr>
              <w:t>Escalabilidade e flexibilidade</w:t>
            </w:r>
            <w:r w:rsidRPr="00052296">
              <w:rPr>
                <w:color w:val="000000" w:themeColor="text1"/>
                <w:sz w:val="15"/>
                <w:szCs w:val="15"/>
              </w:rPr>
              <w:t>: desenvolver projetos de estações modulares para implantação rápida em novos mercados. Melhorar os sistemas operacionais para prontidão em relação à expansão internacional.</w:t>
            </w:r>
          </w:p>
        </w:tc>
        <w:tc>
          <w:tcPr>
            <w:tcW w:w="2549" w:type="dxa"/>
            <w:shd w:val="clear" w:color="auto" w:fill="FAFAFA"/>
          </w:tcPr>
          <w:p w14:paraId="2974C203" w14:textId="7F050600" w:rsidR="0088159D" w:rsidRPr="00052296" w:rsidRDefault="00030AA4" w:rsidP="0088159D">
            <w:pPr>
              <w:rPr>
                <w:color w:val="000000" w:themeColor="text1"/>
                <w:sz w:val="15"/>
                <w:szCs w:val="15"/>
              </w:rPr>
            </w:pPr>
            <w:r w:rsidRPr="00052296">
              <w:rPr>
                <w:color w:val="000000" w:themeColor="text1"/>
                <w:sz w:val="15"/>
                <w:szCs w:val="15"/>
                <w:u w:val="single"/>
              </w:rPr>
              <w:t>Integração e novas tecnologias</w:t>
            </w:r>
            <w:r w:rsidRPr="00052296">
              <w:rPr>
                <w:color w:val="000000" w:themeColor="text1"/>
                <w:sz w:val="15"/>
                <w:szCs w:val="15"/>
              </w:rPr>
              <w:t>: integrar soluções de energia solar e armazenamento de energia nas estações de carregamento. Testar a tecnologia de carregamento sem fio em áreas urbanas selecionadas.</w:t>
            </w:r>
          </w:p>
        </w:tc>
        <w:tc>
          <w:tcPr>
            <w:tcW w:w="2549" w:type="dxa"/>
          </w:tcPr>
          <w:p w14:paraId="7F43BE15" w14:textId="381B4F9F" w:rsidR="0088159D" w:rsidRPr="00052296" w:rsidRDefault="00030AA4" w:rsidP="0088159D">
            <w:pPr>
              <w:rPr>
                <w:color w:val="000000" w:themeColor="text1"/>
                <w:sz w:val="15"/>
                <w:szCs w:val="15"/>
              </w:rPr>
            </w:pPr>
            <w:r w:rsidRPr="00052296">
              <w:rPr>
                <w:color w:val="000000" w:themeColor="text1"/>
                <w:sz w:val="15"/>
                <w:szCs w:val="15"/>
                <w:u w:val="single"/>
              </w:rPr>
              <w:t>Operações à prova de obsolescência</w:t>
            </w:r>
            <w:r w:rsidRPr="00052296">
              <w:rPr>
                <w:color w:val="000000" w:themeColor="text1"/>
                <w:sz w:val="15"/>
                <w:szCs w:val="15"/>
              </w:rPr>
              <w:t>: obter total eficiência operacional com análises orientadas por IA e integração de IoT. Garantir que todas as operações sejam alimentadas por 100% de energia renovável, alinhando-se com as metas de sustentabilidade.</w:t>
            </w:r>
          </w:p>
        </w:tc>
      </w:tr>
      <w:tr w:rsidR="00BB24E5" w:rsidRPr="000029E5" w14:paraId="6C68E6AA" w14:textId="77777777" w:rsidTr="00A47B7F">
        <w:trPr>
          <w:trHeight w:val="1087"/>
        </w:trPr>
        <w:tc>
          <w:tcPr>
            <w:tcW w:w="1738" w:type="dxa"/>
            <w:tcBorders>
              <w:right w:val="single" w:sz="18" w:space="0" w:color="CED9D6"/>
            </w:tcBorders>
            <w:shd w:val="clear" w:color="auto" w:fill="FAF9D3"/>
            <w:vAlign w:val="center"/>
          </w:tcPr>
          <w:p w14:paraId="52801AD2" w14:textId="6692367A" w:rsidR="00BB24E5" w:rsidRPr="00052296" w:rsidRDefault="00BB24E5" w:rsidP="0088159D">
            <w:pPr>
              <w:rPr>
                <w:color w:val="000000" w:themeColor="text1"/>
                <w:sz w:val="19"/>
                <w:szCs w:val="19"/>
              </w:rPr>
            </w:pPr>
            <w:r w:rsidRPr="00052296">
              <w:rPr>
                <w:color w:val="000000" w:themeColor="text1"/>
                <w:sz w:val="19"/>
                <w:szCs w:val="19"/>
              </w:rPr>
              <w:t>PARCERIAS ESTRATÉGICAS</w:t>
            </w:r>
          </w:p>
        </w:tc>
        <w:tc>
          <w:tcPr>
            <w:tcW w:w="2548" w:type="dxa"/>
            <w:tcBorders>
              <w:left w:val="single" w:sz="18" w:space="0" w:color="CED9D6"/>
            </w:tcBorders>
          </w:tcPr>
          <w:p w14:paraId="1791BE70" w14:textId="448DB530" w:rsidR="00BB24E5" w:rsidRPr="00052296" w:rsidRDefault="00BB24E5" w:rsidP="00052296">
            <w:pPr>
              <w:ind w:right="-70"/>
              <w:rPr>
                <w:color w:val="000000" w:themeColor="text1"/>
                <w:sz w:val="15"/>
                <w:szCs w:val="15"/>
              </w:rPr>
            </w:pPr>
            <w:r w:rsidRPr="00052296">
              <w:rPr>
                <w:color w:val="000000" w:themeColor="text1"/>
                <w:sz w:val="15"/>
                <w:szCs w:val="15"/>
                <w:u w:val="single"/>
              </w:rPr>
              <w:t>Base e alinhamento:</w:t>
            </w:r>
            <w:r w:rsidRPr="00052296">
              <w:rPr>
                <w:color w:val="000000" w:themeColor="text1"/>
                <w:sz w:val="15"/>
                <w:szCs w:val="15"/>
              </w:rPr>
              <w:t xml:space="preserve"> estabelecer parcerias com fabricantes de veículos elétricos e empresas locais para aumentar a acessibilidade das estações de carregamento.</w:t>
            </w:r>
          </w:p>
        </w:tc>
        <w:tc>
          <w:tcPr>
            <w:tcW w:w="10196" w:type="dxa"/>
            <w:gridSpan w:val="4"/>
            <w:shd w:val="clear" w:color="auto" w:fill="FAFAFA"/>
          </w:tcPr>
          <w:p w14:paraId="391EC499" w14:textId="7FD7E5CF" w:rsidR="00BB24E5" w:rsidRPr="00052296" w:rsidRDefault="00BB24E5" w:rsidP="0088159D">
            <w:pPr>
              <w:rPr>
                <w:color w:val="000000" w:themeColor="text1"/>
                <w:sz w:val="15"/>
                <w:szCs w:val="15"/>
              </w:rPr>
            </w:pPr>
            <w:r w:rsidRPr="00052296">
              <w:rPr>
                <w:color w:val="000000" w:themeColor="text1"/>
                <w:sz w:val="15"/>
                <w:szCs w:val="15"/>
                <w:u w:val="single"/>
              </w:rPr>
              <w:t>Expansão e sinergia:</w:t>
            </w:r>
            <w:r w:rsidRPr="00052296">
              <w:rPr>
                <w:color w:val="000000" w:themeColor="text1"/>
                <w:sz w:val="15"/>
                <w:szCs w:val="15"/>
              </w:rPr>
              <w:t xml:space="preserve"> revisar anualmente a eficácia da parceria e o alinhamento estratégico com o objetivo de expandir para novos mercados e tecnologias, aprimorando as ofertas de serviços e a presença no mercado.</w:t>
            </w:r>
          </w:p>
        </w:tc>
      </w:tr>
      <w:tr w:rsidR="00BB24E5" w:rsidRPr="000029E5" w14:paraId="563DC248" w14:textId="77777777" w:rsidTr="00052296">
        <w:trPr>
          <w:trHeight w:val="907"/>
        </w:trPr>
        <w:tc>
          <w:tcPr>
            <w:tcW w:w="1738" w:type="dxa"/>
            <w:tcBorders>
              <w:right w:val="single" w:sz="18" w:space="0" w:color="CED9D6"/>
            </w:tcBorders>
            <w:shd w:val="clear" w:color="auto" w:fill="FAF9D3"/>
            <w:vAlign w:val="center"/>
          </w:tcPr>
          <w:p w14:paraId="65EB8BB4" w14:textId="763DD6EA" w:rsidR="00BB24E5" w:rsidRPr="00052296" w:rsidRDefault="00EA2E23" w:rsidP="0088159D">
            <w:pPr>
              <w:rPr>
                <w:color w:val="000000" w:themeColor="text1"/>
                <w:sz w:val="19"/>
                <w:szCs w:val="19"/>
              </w:rPr>
            </w:pPr>
            <w:r w:rsidRPr="00052296">
              <w:rPr>
                <w:color w:val="000000" w:themeColor="text1"/>
                <w:sz w:val="19"/>
                <w:szCs w:val="19"/>
              </w:rPr>
              <w:t>DESENVOLVIMENTO DE TECNOLOGIA</w:t>
            </w:r>
          </w:p>
        </w:tc>
        <w:tc>
          <w:tcPr>
            <w:tcW w:w="2548" w:type="dxa"/>
            <w:tcBorders>
              <w:left w:val="single" w:sz="18" w:space="0" w:color="CED9D6"/>
            </w:tcBorders>
          </w:tcPr>
          <w:p w14:paraId="185B5A66" w14:textId="622A0562" w:rsidR="00BB24E5" w:rsidRPr="00052296" w:rsidRDefault="00EA2E23" w:rsidP="0088159D">
            <w:pPr>
              <w:rPr>
                <w:color w:val="000000" w:themeColor="text1"/>
                <w:sz w:val="15"/>
                <w:szCs w:val="15"/>
                <w:u w:val="single"/>
              </w:rPr>
            </w:pPr>
            <w:r w:rsidRPr="00052296">
              <w:rPr>
                <w:color w:val="000000" w:themeColor="text1"/>
                <w:sz w:val="15"/>
                <w:szCs w:val="15"/>
                <w:u w:val="single"/>
              </w:rPr>
              <w:t xml:space="preserve">Pesquisa e desenvolvimento: </w:t>
            </w:r>
            <w:r w:rsidRPr="00052296">
              <w:rPr>
                <w:color w:val="000000" w:themeColor="text1"/>
                <w:sz w:val="15"/>
                <w:szCs w:val="15"/>
              </w:rPr>
              <w:t>investir em P&amp;D para obter tecnologias de carregamento mais rápido e melhores designs de interface do usuário</w:t>
            </w:r>
            <w:r w:rsidRPr="00052296">
              <w:rPr>
                <w:color w:val="000000" w:themeColor="text1"/>
                <w:sz w:val="15"/>
                <w:szCs w:val="15"/>
                <w:u w:val="single"/>
              </w:rPr>
              <w:t>.</w:t>
            </w:r>
          </w:p>
        </w:tc>
        <w:tc>
          <w:tcPr>
            <w:tcW w:w="10196" w:type="dxa"/>
            <w:gridSpan w:val="4"/>
            <w:shd w:val="clear" w:color="auto" w:fill="FAFAFA"/>
          </w:tcPr>
          <w:p w14:paraId="03A7C503" w14:textId="1350088E" w:rsidR="00BB24E5" w:rsidRPr="00052296" w:rsidRDefault="00EA2E23" w:rsidP="0088159D">
            <w:pPr>
              <w:rPr>
                <w:color w:val="000000" w:themeColor="text1"/>
                <w:sz w:val="15"/>
                <w:szCs w:val="15"/>
                <w:u w:val="single"/>
              </w:rPr>
            </w:pPr>
            <w:r w:rsidRPr="00052296">
              <w:rPr>
                <w:color w:val="000000" w:themeColor="text1"/>
                <w:sz w:val="15"/>
                <w:szCs w:val="15"/>
                <w:u w:val="single"/>
              </w:rPr>
              <w:t xml:space="preserve">Implementação e inovação: </w:t>
            </w:r>
            <w:r w:rsidR="002A17D9" w:rsidRPr="00052296">
              <w:rPr>
                <w:color w:val="000000" w:themeColor="text1"/>
                <w:sz w:val="15"/>
                <w:szCs w:val="15"/>
              </w:rPr>
              <w:t>implementar novas tecnologias e recursos com foco na conveniência do cliente e na sustentabilidade ambiental, garantindo que a Positive Charge lidere os avanços tecnológicos no setor de carregamento de veículos elétricos.</w:t>
            </w:r>
          </w:p>
        </w:tc>
      </w:tr>
    </w:tbl>
    <w:p w14:paraId="5BD356C0" w14:textId="77777777" w:rsidR="0088159D" w:rsidRPr="0088159D" w:rsidRDefault="0088159D" w:rsidP="0088159D">
      <w:pPr>
        <w:spacing w:line="240" w:lineRule="auto"/>
        <w:rPr>
          <w:color w:val="595959" w:themeColor="text1" w:themeTint="A6"/>
          <w:sz w:val="20"/>
          <w:szCs w:val="20"/>
        </w:rPr>
      </w:pPr>
    </w:p>
    <w:p w14:paraId="38A24177" w14:textId="54B26588" w:rsidR="003447E4" w:rsidRPr="00052296" w:rsidRDefault="00A47B7F" w:rsidP="00A47B7F">
      <w:pPr>
        <w:shd w:val="clear" w:color="auto" w:fill="FFFFFF" w:themeFill="background1"/>
        <w:spacing w:line="240" w:lineRule="auto"/>
        <w:rPr>
          <w:color w:val="595959" w:themeColor="text1" w:themeTint="A6"/>
          <w:sz w:val="19"/>
          <w:szCs w:val="19"/>
        </w:rPr>
        <w:sectPr w:rsidR="003447E4" w:rsidRPr="00052296" w:rsidSect="008216A9">
          <w:pgSz w:w="15840" w:h="12240" w:orient="landscape"/>
          <w:pgMar w:top="567" w:right="486" w:bottom="585" w:left="720" w:header="0" w:footer="0" w:gutter="0"/>
          <w:pgNumType w:start="1"/>
          <w:cols w:space="720"/>
          <w:docGrid w:linePitch="299"/>
        </w:sectPr>
      </w:pPr>
      <w:r w:rsidRPr="00052296">
        <w:rPr>
          <w:color w:val="595959" w:themeColor="text1" w:themeTint="A6"/>
          <w:sz w:val="19"/>
          <w:szCs w:val="19"/>
        </w:rPr>
        <w:t>Este plano de negócios estratégico de cinco anos coloca a “Positive Charge” no caminho da liderança, da inovação e da sustentabilidade do setor, abordando o crescimento financeiro, o posicionamento no mercado, o engajamento da comunidade, a excelência operacional, as parcerias estratégicas e a inovação tecnológica.</w:t>
      </w:r>
    </w:p>
    <w:p w14:paraId="1D41730C" w14:textId="77777777" w:rsidR="005C01C6" w:rsidRPr="00360227" w:rsidRDefault="005C01C6" w:rsidP="00EB075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b/>
              </w:rPr>
            </w:pPr>
          </w:p>
          <w:p w14:paraId="2D533464" w14:textId="77777777" w:rsidR="005C01C6" w:rsidRPr="00360227" w:rsidRDefault="005C01C6" w:rsidP="00EB075A">
            <w:pPr>
              <w:jc w:val="center"/>
              <w:rPr>
                <w:b/>
              </w:rPr>
            </w:pPr>
            <w:r>
              <w:rPr>
                <w:b/>
              </w:rPr>
              <w:t>AVISO DE ISENÇÃO DE RESPONSABILIDADE</w:t>
            </w:r>
          </w:p>
          <w:p w14:paraId="6C0DA57C" w14:textId="77777777" w:rsidR="005C01C6" w:rsidRPr="00360227" w:rsidRDefault="005C01C6" w:rsidP="00EB075A"/>
          <w:p w14:paraId="4A8BCDA9" w14:textId="77777777" w:rsidR="005C01C6" w:rsidRPr="00360227" w:rsidRDefault="005C01C6" w:rsidP="00EB075A">
            <w:pPr>
              <w:spacing w:line="276" w:lineRule="auto"/>
            </w:pPr>
            <w: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629278FC" w14:textId="03861978" w:rsidR="005C01C6" w:rsidRPr="00360227" w:rsidRDefault="005C01C6" w:rsidP="00EB075A">
            <w:pPr>
              <w:spacing w:line="276" w:lineRule="auto"/>
            </w:pPr>
          </w:p>
        </w:tc>
      </w:tr>
    </w:tbl>
    <w:p w14:paraId="1313BE39" w14:textId="77777777" w:rsidR="005C01C6" w:rsidRPr="00360227" w:rsidRDefault="005C01C6" w:rsidP="00EB075A">
      <w:pPr>
        <w:spacing w:line="240" w:lineRule="auto"/>
        <w:rPr>
          <w:szCs w:val="20"/>
        </w:rPr>
      </w:pPr>
    </w:p>
    <w:p w14:paraId="00000050" w14:textId="77777777" w:rsidR="00C62A39" w:rsidRPr="00360227" w:rsidRDefault="00C62A39" w:rsidP="00EB075A">
      <w:pPr>
        <w:spacing w:after="120"/>
      </w:pPr>
    </w:p>
    <w:sectPr w:rsidR="00C62A39" w:rsidRPr="00360227" w:rsidSect="001760C1">
      <w:pgSz w:w="12240" w:h="15840"/>
      <w:pgMar w:top="619"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154E8"/>
    <w:rsid w:val="00030AA4"/>
    <w:rsid w:val="0005173C"/>
    <w:rsid w:val="00052296"/>
    <w:rsid w:val="00053358"/>
    <w:rsid w:val="00066E19"/>
    <w:rsid w:val="000E3EE3"/>
    <w:rsid w:val="00133A8B"/>
    <w:rsid w:val="00146DB2"/>
    <w:rsid w:val="001A376C"/>
    <w:rsid w:val="001A70DD"/>
    <w:rsid w:val="001B4D84"/>
    <w:rsid w:val="001E16F8"/>
    <w:rsid w:val="002A17D9"/>
    <w:rsid w:val="002B75CA"/>
    <w:rsid w:val="002C0411"/>
    <w:rsid w:val="00340487"/>
    <w:rsid w:val="003447E4"/>
    <w:rsid w:val="00360227"/>
    <w:rsid w:val="003A273E"/>
    <w:rsid w:val="003C4D8C"/>
    <w:rsid w:val="003D7EB7"/>
    <w:rsid w:val="003E0901"/>
    <w:rsid w:val="00432C00"/>
    <w:rsid w:val="00482C57"/>
    <w:rsid w:val="004B0414"/>
    <w:rsid w:val="004D1D7C"/>
    <w:rsid w:val="004D69CA"/>
    <w:rsid w:val="005069D7"/>
    <w:rsid w:val="00520499"/>
    <w:rsid w:val="005252F9"/>
    <w:rsid w:val="00533A0B"/>
    <w:rsid w:val="00581D0B"/>
    <w:rsid w:val="005B25F0"/>
    <w:rsid w:val="005C01C6"/>
    <w:rsid w:val="005D2711"/>
    <w:rsid w:val="005F067C"/>
    <w:rsid w:val="005F1960"/>
    <w:rsid w:val="005F5FEB"/>
    <w:rsid w:val="00603E38"/>
    <w:rsid w:val="006C1E61"/>
    <w:rsid w:val="006E2CEC"/>
    <w:rsid w:val="006E5D7B"/>
    <w:rsid w:val="0072047B"/>
    <w:rsid w:val="0073783D"/>
    <w:rsid w:val="0079272D"/>
    <w:rsid w:val="00807301"/>
    <w:rsid w:val="00807F13"/>
    <w:rsid w:val="008216A9"/>
    <w:rsid w:val="00851949"/>
    <w:rsid w:val="00854633"/>
    <w:rsid w:val="00877A23"/>
    <w:rsid w:val="0088159D"/>
    <w:rsid w:val="00881D06"/>
    <w:rsid w:val="008A34E6"/>
    <w:rsid w:val="008D1479"/>
    <w:rsid w:val="008F58FD"/>
    <w:rsid w:val="00901FA1"/>
    <w:rsid w:val="009064BB"/>
    <w:rsid w:val="009206DB"/>
    <w:rsid w:val="00954C5C"/>
    <w:rsid w:val="009B2E64"/>
    <w:rsid w:val="009C7289"/>
    <w:rsid w:val="009D4192"/>
    <w:rsid w:val="00A01457"/>
    <w:rsid w:val="00A245D0"/>
    <w:rsid w:val="00A37433"/>
    <w:rsid w:val="00A43A23"/>
    <w:rsid w:val="00A47B7F"/>
    <w:rsid w:val="00A50CA7"/>
    <w:rsid w:val="00A85C00"/>
    <w:rsid w:val="00AA0FBD"/>
    <w:rsid w:val="00AE47E3"/>
    <w:rsid w:val="00AE5812"/>
    <w:rsid w:val="00B61D3C"/>
    <w:rsid w:val="00B74DDA"/>
    <w:rsid w:val="00BB24E5"/>
    <w:rsid w:val="00BB62A7"/>
    <w:rsid w:val="00BE4B6E"/>
    <w:rsid w:val="00C62A39"/>
    <w:rsid w:val="00CF5703"/>
    <w:rsid w:val="00D528A1"/>
    <w:rsid w:val="00D95DB4"/>
    <w:rsid w:val="00E470AA"/>
    <w:rsid w:val="00EA2E23"/>
    <w:rsid w:val="00EB075A"/>
    <w:rsid w:val="00ED6AED"/>
    <w:rsid w:val="00F1532F"/>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F8"/>
    <w:rPr>
      <w:rFonts w:ascii="Century Gothic" w:hAnsi="Century Gothic"/>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1009602432">
      <w:bodyDiv w:val="1"/>
      <w:marLeft w:val="0"/>
      <w:marRight w:val="0"/>
      <w:marTop w:val="0"/>
      <w:marBottom w:val="0"/>
      <w:divBdr>
        <w:top w:val="none" w:sz="0" w:space="0" w:color="auto"/>
        <w:left w:val="none" w:sz="0" w:space="0" w:color="auto"/>
        <w:bottom w:val="none" w:sz="0" w:space="0" w:color="auto"/>
        <w:right w:val="none" w:sz="0" w:space="0" w:color="auto"/>
      </w:divBdr>
    </w:div>
    <w:div w:id="1156726281">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434546518">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t.smartsheet.com/try-it?trp=575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1123</Words>
  <Characters>6306</Characters>
  <Application>Microsoft Office Word</Application>
  <DocSecurity>0</DocSecurity>
  <Lines>485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Mira Li</cp:lastModifiedBy>
  <cp:revision>7</cp:revision>
  <dcterms:created xsi:type="dcterms:W3CDTF">2024-05-29T23:00:00Z</dcterms:created>
  <dcterms:modified xsi:type="dcterms:W3CDTF">2024-09-24T13:56:00Z</dcterms:modified>
</cp:coreProperties>
</file>